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D711E" w14:textId="77777777" w:rsidR="00BD39F9" w:rsidRPr="002044EE" w:rsidRDefault="0072516D" w:rsidP="006709DB">
      <w:pPr>
        <w:jc w:val="both"/>
        <w:rPr>
          <w:rFonts w:asciiTheme="majorHAnsi" w:hAnsiTheme="majorHAnsi" w:cstheme="majorHAnsi"/>
          <w:sz w:val="18"/>
          <w:szCs w:val="18"/>
        </w:rPr>
      </w:pPr>
      <w:r w:rsidRPr="002044EE">
        <w:rPr>
          <w:rFonts w:asciiTheme="majorHAnsi" w:hAnsiTheme="majorHAnsi" w:cstheme="majorHAnsi"/>
          <w:sz w:val="18"/>
          <w:szCs w:val="18"/>
        </w:rPr>
        <w:t>Gentile Collega,</w:t>
      </w:r>
    </w:p>
    <w:p w14:paraId="25A964FD" w14:textId="2B5CBD97" w:rsidR="0072516D" w:rsidRPr="002044EE" w:rsidRDefault="0072516D" w:rsidP="006709DB">
      <w:pPr>
        <w:jc w:val="both"/>
        <w:rPr>
          <w:rFonts w:asciiTheme="majorHAnsi" w:hAnsiTheme="majorHAnsi" w:cstheme="majorHAnsi"/>
          <w:sz w:val="18"/>
          <w:szCs w:val="18"/>
        </w:rPr>
      </w:pPr>
      <w:r w:rsidRPr="002044EE">
        <w:rPr>
          <w:rFonts w:asciiTheme="majorHAnsi" w:hAnsiTheme="majorHAnsi" w:cstheme="majorHAnsi"/>
          <w:sz w:val="18"/>
          <w:szCs w:val="18"/>
        </w:rPr>
        <w:t xml:space="preserve">da </w:t>
      </w:r>
      <w:r w:rsidR="00BD3E88" w:rsidRPr="002044EE">
        <w:rPr>
          <w:rFonts w:asciiTheme="majorHAnsi" w:hAnsiTheme="majorHAnsi" w:cstheme="majorHAnsi"/>
          <w:sz w:val="18"/>
          <w:szCs w:val="18"/>
        </w:rPr>
        <w:t xml:space="preserve">questa mattina e fino a sabato </w:t>
      </w:r>
      <w:r w:rsidRPr="002044EE">
        <w:rPr>
          <w:rFonts w:asciiTheme="majorHAnsi" w:hAnsiTheme="majorHAnsi" w:cstheme="majorHAnsi"/>
          <w:sz w:val="18"/>
          <w:szCs w:val="18"/>
        </w:rPr>
        <w:t xml:space="preserve">si vota per il rinnovo del nostro Consiglio dell’Ordine </w:t>
      </w:r>
      <w:r w:rsidR="00E2636F" w:rsidRPr="002044EE">
        <w:rPr>
          <w:rFonts w:asciiTheme="majorHAnsi" w:hAnsiTheme="majorHAnsi" w:cstheme="majorHAnsi"/>
          <w:sz w:val="18"/>
          <w:szCs w:val="18"/>
        </w:rPr>
        <w:t>per il prossimo quadriennio 2019</w:t>
      </w:r>
      <w:r w:rsidRPr="002044EE">
        <w:rPr>
          <w:rFonts w:asciiTheme="majorHAnsi" w:hAnsiTheme="majorHAnsi" w:cstheme="majorHAnsi"/>
          <w:sz w:val="18"/>
          <w:szCs w:val="18"/>
        </w:rPr>
        <w:t>/2022.</w:t>
      </w:r>
    </w:p>
    <w:p w14:paraId="6E94169F" w14:textId="77777777" w:rsidR="0072516D" w:rsidRPr="002044EE" w:rsidRDefault="0072516D" w:rsidP="006709DB">
      <w:pPr>
        <w:jc w:val="both"/>
        <w:rPr>
          <w:rFonts w:asciiTheme="majorHAnsi" w:hAnsiTheme="majorHAnsi" w:cstheme="majorHAnsi"/>
          <w:sz w:val="18"/>
          <w:szCs w:val="18"/>
        </w:rPr>
      </w:pPr>
      <w:r w:rsidRPr="002044EE">
        <w:rPr>
          <w:rFonts w:asciiTheme="majorHAnsi" w:hAnsiTheme="majorHAnsi" w:cstheme="majorHAnsi"/>
          <w:sz w:val="18"/>
          <w:szCs w:val="18"/>
        </w:rPr>
        <w:t>E’ un’occasi</w:t>
      </w:r>
      <w:r w:rsidR="00AF1155" w:rsidRPr="002044EE">
        <w:rPr>
          <w:rFonts w:asciiTheme="majorHAnsi" w:hAnsiTheme="majorHAnsi" w:cstheme="majorHAnsi"/>
          <w:sz w:val="18"/>
          <w:szCs w:val="18"/>
        </w:rPr>
        <w:t xml:space="preserve">one unica per proseguire sulla </w:t>
      </w:r>
      <w:r w:rsidRPr="002044EE">
        <w:rPr>
          <w:rFonts w:asciiTheme="majorHAnsi" w:hAnsiTheme="majorHAnsi" w:cstheme="majorHAnsi"/>
          <w:sz w:val="18"/>
          <w:szCs w:val="18"/>
        </w:rPr>
        <w:t>via del rinnovamento che abbiamo intrapreso a giugno con l’elezione dei delegati per il Congr</w:t>
      </w:r>
      <w:r w:rsidR="00C94F68" w:rsidRPr="002044EE">
        <w:rPr>
          <w:rFonts w:asciiTheme="majorHAnsi" w:hAnsiTheme="majorHAnsi" w:cstheme="majorHAnsi"/>
          <w:sz w:val="18"/>
          <w:szCs w:val="18"/>
        </w:rPr>
        <w:t>esso Nazionale Forense e</w:t>
      </w:r>
      <w:r w:rsidRPr="002044EE">
        <w:rPr>
          <w:rFonts w:asciiTheme="majorHAnsi" w:hAnsiTheme="majorHAnsi" w:cstheme="majorHAnsi"/>
          <w:sz w:val="18"/>
          <w:szCs w:val="18"/>
        </w:rPr>
        <w:t xml:space="preserve"> a settembre con quella per i componenti del comitato dei delegati di Cassa forense.</w:t>
      </w:r>
    </w:p>
    <w:p w14:paraId="4234D45D" w14:textId="49500FA2" w:rsidR="0072516D" w:rsidRPr="002044EE" w:rsidRDefault="0072516D" w:rsidP="006709DB">
      <w:pPr>
        <w:jc w:val="both"/>
        <w:rPr>
          <w:rFonts w:asciiTheme="majorHAnsi" w:hAnsiTheme="majorHAnsi" w:cstheme="majorHAnsi"/>
          <w:sz w:val="18"/>
          <w:szCs w:val="18"/>
        </w:rPr>
      </w:pPr>
      <w:r w:rsidRPr="002044EE">
        <w:rPr>
          <w:rFonts w:asciiTheme="majorHAnsi" w:hAnsiTheme="majorHAnsi" w:cstheme="majorHAnsi"/>
          <w:sz w:val="18"/>
          <w:szCs w:val="18"/>
        </w:rPr>
        <w:t>Dopo la nota decisione delle Sezioni Unite della Suprema Corte di Cassazione n</w:t>
      </w:r>
      <w:r w:rsidR="00C94F68" w:rsidRPr="002044EE">
        <w:rPr>
          <w:rFonts w:asciiTheme="majorHAnsi" w:hAnsiTheme="majorHAnsi" w:cstheme="majorHAnsi"/>
          <w:sz w:val="18"/>
          <w:szCs w:val="18"/>
        </w:rPr>
        <w:t xml:space="preserve">. 32781/2018 sul c.d. </w:t>
      </w:r>
      <w:r w:rsidR="00C94F68" w:rsidRPr="002044EE">
        <w:rPr>
          <w:rFonts w:asciiTheme="majorHAnsi" w:hAnsiTheme="majorHAnsi" w:cstheme="majorHAnsi"/>
          <w:b/>
          <w:sz w:val="18"/>
          <w:szCs w:val="18"/>
        </w:rPr>
        <w:t>limite del doppio mandato</w:t>
      </w:r>
      <w:r w:rsidR="00C94F68" w:rsidRPr="002044EE">
        <w:rPr>
          <w:rFonts w:asciiTheme="majorHAnsi" w:hAnsiTheme="majorHAnsi" w:cstheme="majorHAnsi"/>
          <w:sz w:val="18"/>
          <w:szCs w:val="18"/>
        </w:rPr>
        <w:t xml:space="preserve"> per i Consiglieri,</w:t>
      </w:r>
      <w:r w:rsidR="006709DB" w:rsidRPr="002044EE">
        <w:rPr>
          <w:rFonts w:asciiTheme="majorHAnsi" w:hAnsiTheme="majorHAnsi" w:cstheme="majorHAnsi"/>
          <w:sz w:val="18"/>
          <w:szCs w:val="18"/>
        </w:rPr>
        <w:t xml:space="preserve"> alcuni candidati, e</w:t>
      </w:r>
      <w:r w:rsidRPr="002044EE">
        <w:rPr>
          <w:rFonts w:asciiTheme="majorHAnsi" w:hAnsiTheme="majorHAnsi" w:cstheme="majorHAnsi"/>
          <w:sz w:val="18"/>
          <w:szCs w:val="18"/>
        </w:rPr>
        <w:t xml:space="preserve"> </w:t>
      </w:r>
      <w:r w:rsidRPr="002044EE">
        <w:rPr>
          <w:rFonts w:asciiTheme="majorHAnsi" w:hAnsiTheme="majorHAnsi" w:cstheme="majorHAnsi"/>
          <w:i/>
          <w:sz w:val="18"/>
          <w:szCs w:val="18"/>
        </w:rPr>
        <w:t>in primis</w:t>
      </w:r>
      <w:r w:rsidRPr="002044EE">
        <w:rPr>
          <w:rFonts w:asciiTheme="majorHAnsi" w:hAnsiTheme="majorHAnsi" w:cstheme="majorHAnsi"/>
          <w:sz w:val="18"/>
          <w:szCs w:val="18"/>
        </w:rPr>
        <w:t xml:space="preserve"> il nostro Alessandro </w:t>
      </w:r>
      <w:proofErr w:type="spellStart"/>
      <w:r w:rsidRPr="002044EE">
        <w:rPr>
          <w:rFonts w:asciiTheme="majorHAnsi" w:hAnsiTheme="majorHAnsi" w:cstheme="majorHAnsi"/>
          <w:sz w:val="18"/>
          <w:szCs w:val="18"/>
        </w:rPr>
        <w:t>Cassiani</w:t>
      </w:r>
      <w:proofErr w:type="spellEnd"/>
      <w:r w:rsidRPr="002044EE">
        <w:rPr>
          <w:rFonts w:asciiTheme="majorHAnsi" w:hAnsiTheme="majorHAnsi" w:cstheme="majorHAnsi"/>
          <w:sz w:val="18"/>
          <w:szCs w:val="18"/>
        </w:rPr>
        <w:t xml:space="preserve">, hanno ritenuto doveroso ritirare </w:t>
      </w:r>
      <w:r w:rsidR="00C94F68" w:rsidRPr="002044EE">
        <w:rPr>
          <w:rFonts w:asciiTheme="majorHAnsi" w:hAnsiTheme="majorHAnsi" w:cstheme="majorHAnsi"/>
          <w:sz w:val="18"/>
          <w:szCs w:val="18"/>
        </w:rPr>
        <w:t xml:space="preserve">immediatamente la </w:t>
      </w:r>
      <w:r w:rsidRPr="002044EE">
        <w:rPr>
          <w:rFonts w:asciiTheme="majorHAnsi" w:hAnsiTheme="majorHAnsi" w:cstheme="majorHAnsi"/>
          <w:sz w:val="18"/>
          <w:szCs w:val="18"/>
        </w:rPr>
        <w:t xml:space="preserve">candidatura in ossequio al </w:t>
      </w:r>
      <w:proofErr w:type="spellStart"/>
      <w:r w:rsidRPr="002044EE">
        <w:rPr>
          <w:rFonts w:asciiTheme="majorHAnsi" w:hAnsiTheme="majorHAnsi" w:cstheme="majorHAnsi"/>
          <w:i/>
          <w:sz w:val="18"/>
          <w:szCs w:val="18"/>
        </w:rPr>
        <w:t>dictum</w:t>
      </w:r>
      <w:proofErr w:type="spellEnd"/>
      <w:r w:rsidRPr="002044EE">
        <w:rPr>
          <w:rFonts w:asciiTheme="majorHAnsi" w:hAnsiTheme="majorHAnsi" w:cstheme="majorHAnsi"/>
          <w:sz w:val="18"/>
          <w:szCs w:val="18"/>
        </w:rPr>
        <w:t xml:space="preserve"> giurisdizionale</w:t>
      </w:r>
      <w:r w:rsidR="00E2636F" w:rsidRPr="002044EE">
        <w:rPr>
          <w:rFonts w:asciiTheme="majorHAnsi" w:hAnsiTheme="majorHAnsi" w:cstheme="majorHAnsi"/>
          <w:sz w:val="18"/>
          <w:szCs w:val="18"/>
        </w:rPr>
        <w:t xml:space="preserve"> e</w:t>
      </w:r>
      <w:r w:rsidR="00C94F68" w:rsidRPr="002044EE">
        <w:rPr>
          <w:rFonts w:asciiTheme="majorHAnsi" w:hAnsiTheme="majorHAnsi" w:cstheme="majorHAnsi"/>
          <w:sz w:val="18"/>
          <w:szCs w:val="18"/>
        </w:rPr>
        <w:t xml:space="preserve"> alla legge (art. 3 co. 3 L. 113/2017)</w:t>
      </w:r>
      <w:r w:rsidR="006709DB" w:rsidRPr="002044EE">
        <w:rPr>
          <w:rFonts w:asciiTheme="majorHAnsi" w:hAnsiTheme="majorHAnsi" w:cstheme="majorHAnsi"/>
          <w:sz w:val="18"/>
          <w:szCs w:val="18"/>
        </w:rPr>
        <w:t xml:space="preserve">, </w:t>
      </w:r>
      <w:r w:rsidRPr="002044EE">
        <w:rPr>
          <w:rFonts w:asciiTheme="majorHAnsi" w:hAnsiTheme="majorHAnsi" w:cstheme="majorHAnsi"/>
          <w:sz w:val="18"/>
          <w:szCs w:val="18"/>
        </w:rPr>
        <w:t>dando prova concreta di spirito di servizio</w:t>
      </w:r>
      <w:r w:rsidR="006709DB" w:rsidRPr="002044EE">
        <w:rPr>
          <w:rFonts w:asciiTheme="majorHAnsi" w:hAnsiTheme="majorHAnsi" w:cstheme="majorHAnsi"/>
          <w:sz w:val="18"/>
          <w:szCs w:val="18"/>
        </w:rPr>
        <w:t xml:space="preserve"> e di lealtà istituzionale</w:t>
      </w:r>
      <w:r w:rsidRPr="002044EE">
        <w:rPr>
          <w:rFonts w:asciiTheme="majorHAnsi" w:hAnsiTheme="majorHAnsi" w:cstheme="majorHAnsi"/>
          <w:sz w:val="18"/>
          <w:szCs w:val="18"/>
        </w:rPr>
        <w:t>.</w:t>
      </w:r>
    </w:p>
    <w:p w14:paraId="7FC3BE56" w14:textId="7F4A2B91" w:rsidR="0072516D" w:rsidRPr="002044EE" w:rsidRDefault="0072516D" w:rsidP="006709DB">
      <w:pPr>
        <w:jc w:val="both"/>
        <w:rPr>
          <w:rFonts w:asciiTheme="majorHAnsi" w:hAnsiTheme="majorHAnsi" w:cstheme="majorHAnsi"/>
          <w:sz w:val="18"/>
          <w:szCs w:val="18"/>
        </w:rPr>
      </w:pPr>
      <w:r w:rsidRPr="002044EE">
        <w:rPr>
          <w:rFonts w:asciiTheme="majorHAnsi" w:hAnsiTheme="majorHAnsi" w:cstheme="majorHAnsi"/>
          <w:b/>
          <w:sz w:val="18"/>
          <w:szCs w:val="18"/>
        </w:rPr>
        <w:t>Soltanto un candidato a Roma</w:t>
      </w:r>
      <w:r w:rsidRPr="002044EE">
        <w:rPr>
          <w:rFonts w:asciiTheme="majorHAnsi" w:hAnsiTheme="majorHAnsi" w:cstheme="majorHAnsi"/>
          <w:sz w:val="18"/>
          <w:szCs w:val="18"/>
        </w:rPr>
        <w:t xml:space="preserve"> </w:t>
      </w:r>
      <w:r w:rsidRPr="002044EE">
        <w:rPr>
          <w:rFonts w:asciiTheme="majorHAnsi" w:hAnsiTheme="majorHAnsi" w:cstheme="majorHAnsi"/>
          <w:b/>
          <w:sz w:val="18"/>
          <w:szCs w:val="18"/>
        </w:rPr>
        <w:t>ha preferito farsi esclude</w:t>
      </w:r>
      <w:r w:rsidR="006709DB" w:rsidRPr="002044EE">
        <w:rPr>
          <w:rFonts w:asciiTheme="majorHAnsi" w:hAnsiTheme="majorHAnsi" w:cstheme="majorHAnsi"/>
          <w:b/>
          <w:sz w:val="18"/>
          <w:szCs w:val="18"/>
        </w:rPr>
        <w:t>re</w:t>
      </w:r>
      <w:r w:rsidR="006709DB" w:rsidRPr="002044EE">
        <w:rPr>
          <w:rFonts w:asciiTheme="majorHAnsi" w:hAnsiTheme="majorHAnsi" w:cstheme="majorHAnsi"/>
          <w:sz w:val="18"/>
          <w:szCs w:val="18"/>
        </w:rPr>
        <w:t xml:space="preserve"> dalla commissione elettorale nominata dal Consiglio mediante sorteggio tra i colleghi che aveva</w:t>
      </w:r>
      <w:r w:rsidR="00E2636F" w:rsidRPr="002044EE">
        <w:rPr>
          <w:rFonts w:asciiTheme="majorHAnsi" w:hAnsiTheme="majorHAnsi" w:cstheme="majorHAnsi"/>
          <w:sz w:val="18"/>
          <w:szCs w:val="18"/>
        </w:rPr>
        <w:t xml:space="preserve">no manifestato la disponibilità con provvedimento contenuto in un verbale che incredibilmente non è stato trasmesso né ai candidati e neppure ai Consiglieri, ma è stato diffuso con mail massiva da un ex consigliere anch’egli </w:t>
      </w:r>
      <w:proofErr w:type="spellStart"/>
      <w:r w:rsidR="00E2636F" w:rsidRPr="002044EE">
        <w:rPr>
          <w:rFonts w:asciiTheme="majorHAnsi" w:hAnsiTheme="majorHAnsi" w:cstheme="majorHAnsi"/>
          <w:sz w:val="18"/>
          <w:szCs w:val="18"/>
        </w:rPr>
        <w:t>incandidabile</w:t>
      </w:r>
      <w:proofErr w:type="spellEnd"/>
      <w:r w:rsidR="00E2636F" w:rsidRPr="002044EE">
        <w:rPr>
          <w:rFonts w:asciiTheme="majorHAnsi" w:hAnsiTheme="majorHAnsi" w:cstheme="majorHAnsi"/>
          <w:sz w:val="18"/>
          <w:szCs w:val="18"/>
        </w:rPr>
        <w:t xml:space="preserve"> e, dunque, ineleggibile per essersi dimesso dall’Ordine in prossimità della scadenza del mandato, avendo scelto di proseguire in modo economicamente più vantaggioso l’impegno in Cassa forense. </w:t>
      </w:r>
    </w:p>
    <w:p w14:paraId="1369DF2F" w14:textId="3B6DCFD0" w:rsidR="0072516D" w:rsidRPr="002044EE" w:rsidRDefault="0072516D" w:rsidP="006709DB">
      <w:pPr>
        <w:jc w:val="both"/>
        <w:rPr>
          <w:rFonts w:asciiTheme="majorHAnsi" w:hAnsiTheme="majorHAnsi" w:cstheme="majorHAnsi"/>
          <w:sz w:val="18"/>
          <w:szCs w:val="18"/>
        </w:rPr>
      </w:pPr>
      <w:r w:rsidRPr="002044EE">
        <w:rPr>
          <w:rFonts w:asciiTheme="majorHAnsi" w:hAnsiTheme="majorHAnsi" w:cstheme="majorHAnsi"/>
          <w:sz w:val="18"/>
          <w:szCs w:val="18"/>
        </w:rPr>
        <w:t>A</w:t>
      </w:r>
      <w:r w:rsidR="00E2636F" w:rsidRPr="002044EE">
        <w:rPr>
          <w:rFonts w:asciiTheme="majorHAnsi" w:hAnsiTheme="majorHAnsi" w:cstheme="majorHAnsi"/>
          <w:sz w:val="18"/>
          <w:szCs w:val="18"/>
        </w:rPr>
        <w:t>d ogni buon conto, a</w:t>
      </w:r>
      <w:r w:rsidRPr="002044EE">
        <w:rPr>
          <w:rFonts w:asciiTheme="majorHAnsi" w:hAnsiTheme="majorHAnsi" w:cstheme="majorHAnsi"/>
          <w:sz w:val="18"/>
          <w:szCs w:val="18"/>
        </w:rPr>
        <w:t xml:space="preserve"> seguito della decisione della Suprema Corte, è stato emesso il </w:t>
      </w:r>
      <w:r w:rsidR="00C94F68" w:rsidRPr="002044EE">
        <w:rPr>
          <w:rFonts w:asciiTheme="majorHAnsi" w:hAnsiTheme="majorHAnsi" w:cstheme="majorHAnsi"/>
          <w:sz w:val="18"/>
          <w:szCs w:val="18"/>
        </w:rPr>
        <w:t xml:space="preserve">DL 2/2019 di interpretazione autentica </w:t>
      </w:r>
      <w:r w:rsidRPr="002044EE">
        <w:rPr>
          <w:rFonts w:asciiTheme="majorHAnsi" w:hAnsiTheme="majorHAnsi" w:cstheme="majorHAnsi"/>
          <w:sz w:val="18"/>
          <w:szCs w:val="18"/>
        </w:rPr>
        <w:t xml:space="preserve">che ha riaffermato i principi </w:t>
      </w:r>
      <w:r w:rsidR="006709DB" w:rsidRPr="002044EE">
        <w:rPr>
          <w:rFonts w:asciiTheme="majorHAnsi" w:hAnsiTheme="majorHAnsi" w:cstheme="majorHAnsi"/>
          <w:sz w:val="18"/>
          <w:szCs w:val="18"/>
        </w:rPr>
        <w:t xml:space="preserve">già espressi dalle Sezioni Unite </w:t>
      </w:r>
      <w:r w:rsidRPr="002044EE">
        <w:rPr>
          <w:rFonts w:asciiTheme="majorHAnsi" w:hAnsiTheme="majorHAnsi" w:cstheme="majorHAnsi"/>
          <w:sz w:val="18"/>
          <w:szCs w:val="18"/>
        </w:rPr>
        <w:t xml:space="preserve">con </w:t>
      </w:r>
      <w:r w:rsidR="006709DB" w:rsidRPr="002044EE">
        <w:rPr>
          <w:rFonts w:asciiTheme="majorHAnsi" w:hAnsiTheme="majorHAnsi" w:cstheme="majorHAnsi"/>
          <w:sz w:val="18"/>
          <w:szCs w:val="18"/>
        </w:rPr>
        <w:t xml:space="preserve">immediata </w:t>
      </w:r>
      <w:r w:rsidR="00E2636F" w:rsidRPr="002044EE">
        <w:rPr>
          <w:rFonts w:asciiTheme="majorHAnsi" w:hAnsiTheme="majorHAnsi" w:cstheme="majorHAnsi"/>
          <w:sz w:val="18"/>
          <w:szCs w:val="18"/>
        </w:rPr>
        <w:t>valenza legislativa (art. 1 co. 1 DL citato).</w:t>
      </w:r>
    </w:p>
    <w:p w14:paraId="5FA3BDF4" w14:textId="48B7ACCC" w:rsidR="0072516D" w:rsidRPr="002044EE" w:rsidRDefault="0072516D" w:rsidP="006709DB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2044EE">
        <w:rPr>
          <w:rFonts w:asciiTheme="majorHAnsi" w:hAnsiTheme="majorHAnsi" w:cstheme="majorHAnsi"/>
          <w:sz w:val="18"/>
          <w:szCs w:val="18"/>
        </w:rPr>
        <w:t>Ciò non è bastato, perché il medesimo candidato</w:t>
      </w:r>
      <w:r w:rsidR="00E2636F" w:rsidRPr="002044EE">
        <w:rPr>
          <w:rFonts w:asciiTheme="majorHAnsi" w:hAnsiTheme="majorHAnsi" w:cstheme="majorHAnsi"/>
          <w:sz w:val="18"/>
          <w:szCs w:val="18"/>
        </w:rPr>
        <w:t xml:space="preserve"> escluso</w:t>
      </w:r>
      <w:r w:rsidRPr="002044EE">
        <w:rPr>
          <w:rFonts w:asciiTheme="majorHAnsi" w:hAnsiTheme="majorHAnsi" w:cstheme="majorHAnsi"/>
          <w:sz w:val="18"/>
          <w:szCs w:val="18"/>
        </w:rPr>
        <w:t xml:space="preserve">, dopo avere ottenuto dal TAR romano il diniego dell’invocato decreto cautelare monocratico, </w:t>
      </w:r>
      <w:r w:rsidR="006709DB" w:rsidRPr="002044EE">
        <w:rPr>
          <w:rFonts w:asciiTheme="majorHAnsi" w:hAnsiTheme="majorHAnsi" w:cstheme="majorHAnsi"/>
          <w:sz w:val="18"/>
          <w:szCs w:val="18"/>
        </w:rPr>
        <w:t>essendosi addirittura rivolto a</w:t>
      </w:r>
      <w:r w:rsidRPr="002044EE">
        <w:rPr>
          <w:rFonts w:asciiTheme="majorHAnsi" w:hAnsiTheme="majorHAnsi" w:cstheme="majorHAnsi"/>
          <w:sz w:val="18"/>
          <w:szCs w:val="18"/>
        </w:rPr>
        <w:t xml:space="preserve"> un plesso privo della giurisdizione, si è subito dopo rivolto al Consiglio Nazionale Forense, dove </w:t>
      </w:r>
      <w:r w:rsidRPr="002044EE">
        <w:rPr>
          <w:rFonts w:asciiTheme="majorHAnsi" w:hAnsiTheme="majorHAnsi" w:cstheme="majorHAnsi"/>
          <w:b/>
          <w:sz w:val="18"/>
          <w:szCs w:val="18"/>
        </w:rPr>
        <w:t>la questione era ben nota</w:t>
      </w:r>
      <w:r w:rsidR="00E2636F" w:rsidRPr="002044EE">
        <w:rPr>
          <w:rFonts w:asciiTheme="majorHAnsi" w:hAnsiTheme="majorHAnsi" w:cstheme="majorHAnsi"/>
          <w:sz w:val="18"/>
          <w:szCs w:val="18"/>
        </w:rPr>
        <w:t>,</w:t>
      </w:r>
      <w:r w:rsidRPr="002044EE">
        <w:rPr>
          <w:rFonts w:asciiTheme="majorHAnsi" w:hAnsiTheme="majorHAnsi" w:cstheme="majorHAnsi"/>
          <w:sz w:val="18"/>
          <w:szCs w:val="18"/>
        </w:rPr>
        <w:t xml:space="preserve"> versando </w:t>
      </w:r>
      <w:r w:rsidR="00C94F68" w:rsidRPr="002044EE">
        <w:rPr>
          <w:rFonts w:asciiTheme="majorHAnsi" w:hAnsiTheme="majorHAnsi" w:cstheme="majorHAnsi"/>
          <w:sz w:val="18"/>
          <w:szCs w:val="18"/>
        </w:rPr>
        <w:t>diversi</w:t>
      </w:r>
      <w:r w:rsidRPr="002044EE">
        <w:rPr>
          <w:rFonts w:asciiTheme="majorHAnsi" w:hAnsiTheme="majorHAnsi" w:cstheme="majorHAnsi"/>
          <w:sz w:val="18"/>
          <w:szCs w:val="18"/>
        </w:rPr>
        <w:t xml:space="preserve"> Consiglieri in posizione </w:t>
      </w:r>
      <w:r w:rsidR="00C94F68" w:rsidRPr="002044EE">
        <w:rPr>
          <w:rFonts w:asciiTheme="majorHAnsi" w:hAnsiTheme="majorHAnsi" w:cstheme="majorHAnsi"/>
          <w:sz w:val="18"/>
          <w:szCs w:val="18"/>
        </w:rPr>
        <w:t>analoga</w:t>
      </w:r>
      <w:r w:rsidR="0032585E" w:rsidRPr="002044EE">
        <w:rPr>
          <w:rFonts w:asciiTheme="majorHAnsi" w:hAnsiTheme="majorHAnsi" w:cstheme="majorHAnsi"/>
          <w:sz w:val="18"/>
          <w:szCs w:val="18"/>
        </w:rPr>
        <w:t xml:space="preserve"> per avere già </w:t>
      </w:r>
      <w:r w:rsidR="00C94F68" w:rsidRPr="002044EE">
        <w:rPr>
          <w:rFonts w:asciiTheme="majorHAnsi" w:hAnsiTheme="majorHAnsi" w:cstheme="majorHAnsi"/>
          <w:sz w:val="18"/>
          <w:szCs w:val="18"/>
        </w:rPr>
        <w:t xml:space="preserve">svolto due </w:t>
      </w:r>
      <w:r w:rsidR="00E2636F" w:rsidRPr="002044EE">
        <w:rPr>
          <w:rFonts w:asciiTheme="majorHAnsi" w:hAnsiTheme="majorHAnsi" w:cstheme="majorHAnsi"/>
          <w:sz w:val="18"/>
          <w:szCs w:val="18"/>
        </w:rPr>
        <w:t xml:space="preserve">(o più) </w:t>
      </w:r>
      <w:r w:rsidR="00C94F68" w:rsidRPr="002044EE">
        <w:rPr>
          <w:rFonts w:asciiTheme="majorHAnsi" w:hAnsiTheme="majorHAnsi" w:cstheme="majorHAnsi"/>
          <w:sz w:val="18"/>
          <w:szCs w:val="18"/>
        </w:rPr>
        <w:t>mandati consecutivi al CNF.</w:t>
      </w:r>
    </w:p>
    <w:p w14:paraId="27BB161B" w14:textId="7C793DE6" w:rsidR="006709DB" w:rsidRPr="002044EE" w:rsidRDefault="006709DB" w:rsidP="006709DB">
      <w:pPr>
        <w:jc w:val="both"/>
        <w:rPr>
          <w:rFonts w:asciiTheme="majorHAnsi" w:hAnsiTheme="majorHAnsi" w:cstheme="majorHAnsi"/>
          <w:sz w:val="18"/>
          <w:szCs w:val="18"/>
        </w:rPr>
      </w:pPr>
      <w:r w:rsidRPr="002044EE">
        <w:rPr>
          <w:rFonts w:asciiTheme="majorHAnsi" w:hAnsiTheme="majorHAnsi" w:cstheme="majorHAnsi"/>
          <w:sz w:val="18"/>
          <w:szCs w:val="18"/>
        </w:rPr>
        <w:t xml:space="preserve">Durante l’adunanza </w:t>
      </w:r>
      <w:r w:rsidR="00C94F68" w:rsidRPr="002044EE">
        <w:rPr>
          <w:rFonts w:asciiTheme="majorHAnsi" w:hAnsiTheme="majorHAnsi" w:cstheme="majorHAnsi"/>
          <w:sz w:val="18"/>
          <w:szCs w:val="18"/>
        </w:rPr>
        <w:t xml:space="preserve">consiliare dello scorso 10 gennaio, peraltro, </w:t>
      </w:r>
      <w:r w:rsidRPr="002044EE">
        <w:rPr>
          <w:rFonts w:asciiTheme="majorHAnsi" w:hAnsiTheme="majorHAnsi" w:cstheme="majorHAnsi"/>
          <w:sz w:val="18"/>
          <w:szCs w:val="18"/>
        </w:rPr>
        <w:t xml:space="preserve">né il Presidente del Consiglio dell’Ordine, né l’interessato ha ritenuto doveroso riferire </w:t>
      </w:r>
      <w:r w:rsidR="00E2636F" w:rsidRPr="002044EE">
        <w:rPr>
          <w:rFonts w:asciiTheme="majorHAnsi" w:hAnsiTheme="majorHAnsi" w:cstheme="majorHAnsi"/>
          <w:sz w:val="18"/>
          <w:szCs w:val="18"/>
        </w:rPr>
        <w:t xml:space="preserve">in Consiglio </w:t>
      </w:r>
      <w:r w:rsidRPr="002044EE">
        <w:rPr>
          <w:rFonts w:asciiTheme="majorHAnsi" w:hAnsiTheme="majorHAnsi" w:cstheme="majorHAnsi"/>
          <w:sz w:val="18"/>
          <w:szCs w:val="18"/>
        </w:rPr>
        <w:t>dell’avvenuta notifica dei giudizi (al TAR e al CNF) e neppure è stata tempestivamente informata la Commissione elettorale.</w:t>
      </w:r>
    </w:p>
    <w:p w14:paraId="4F4BC2D4" w14:textId="2AADE350" w:rsidR="006709DB" w:rsidRPr="002044EE" w:rsidRDefault="006709DB" w:rsidP="006709DB">
      <w:pPr>
        <w:jc w:val="both"/>
        <w:rPr>
          <w:rFonts w:asciiTheme="majorHAnsi" w:hAnsiTheme="majorHAnsi" w:cstheme="majorHAnsi"/>
          <w:sz w:val="18"/>
          <w:szCs w:val="18"/>
        </w:rPr>
      </w:pPr>
      <w:r w:rsidRPr="002044EE">
        <w:rPr>
          <w:rFonts w:asciiTheme="majorHAnsi" w:hAnsiTheme="majorHAnsi" w:cstheme="majorHAnsi"/>
          <w:sz w:val="18"/>
          <w:szCs w:val="18"/>
        </w:rPr>
        <w:t xml:space="preserve">Venuti fortuitamente a sapere del contenzioso che interessava tutti i candidati </w:t>
      </w:r>
      <w:r w:rsidR="00E2636F" w:rsidRPr="002044EE">
        <w:rPr>
          <w:rFonts w:asciiTheme="majorHAnsi" w:hAnsiTheme="majorHAnsi" w:cstheme="majorHAnsi"/>
          <w:sz w:val="18"/>
          <w:szCs w:val="18"/>
        </w:rPr>
        <w:t>e con l’intento di</w:t>
      </w:r>
      <w:r w:rsidRPr="002044EE">
        <w:rPr>
          <w:rFonts w:asciiTheme="majorHAnsi" w:hAnsiTheme="majorHAnsi" w:cstheme="majorHAnsi"/>
          <w:sz w:val="18"/>
          <w:szCs w:val="18"/>
        </w:rPr>
        <w:t xml:space="preserve"> </w:t>
      </w:r>
      <w:r w:rsidR="0072516D" w:rsidRPr="002044EE">
        <w:rPr>
          <w:rFonts w:asciiTheme="majorHAnsi" w:hAnsiTheme="majorHAnsi" w:cstheme="majorHAnsi"/>
          <w:sz w:val="18"/>
          <w:szCs w:val="18"/>
        </w:rPr>
        <w:t>salvaguardare la regolarità della competizione elettorale</w:t>
      </w:r>
      <w:r w:rsidR="00E2636F" w:rsidRPr="002044EE">
        <w:rPr>
          <w:rFonts w:asciiTheme="majorHAnsi" w:hAnsiTheme="majorHAnsi" w:cstheme="majorHAnsi"/>
          <w:sz w:val="18"/>
          <w:szCs w:val="18"/>
        </w:rPr>
        <w:t xml:space="preserve"> da eventuali successive impugnative</w:t>
      </w:r>
      <w:r w:rsidR="0072516D" w:rsidRPr="002044EE">
        <w:rPr>
          <w:rFonts w:asciiTheme="majorHAnsi" w:hAnsiTheme="majorHAnsi" w:cstheme="majorHAnsi"/>
          <w:sz w:val="18"/>
          <w:szCs w:val="18"/>
        </w:rPr>
        <w:t xml:space="preserve">, </w:t>
      </w:r>
      <w:r w:rsidRPr="002044EE">
        <w:rPr>
          <w:rFonts w:asciiTheme="majorHAnsi" w:hAnsiTheme="majorHAnsi" w:cstheme="majorHAnsi"/>
          <w:sz w:val="18"/>
          <w:szCs w:val="18"/>
        </w:rPr>
        <w:t xml:space="preserve">abbiamo </w:t>
      </w:r>
      <w:r w:rsidR="00C94F68" w:rsidRPr="002044EE">
        <w:rPr>
          <w:rFonts w:asciiTheme="majorHAnsi" w:hAnsiTheme="majorHAnsi" w:cstheme="majorHAnsi"/>
          <w:sz w:val="18"/>
          <w:szCs w:val="18"/>
        </w:rPr>
        <w:t xml:space="preserve">ritenuto doveroso resistere nei giudizi per illustrare, </w:t>
      </w:r>
      <w:r w:rsidRPr="002044EE">
        <w:rPr>
          <w:rFonts w:asciiTheme="majorHAnsi" w:hAnsiTheme="majorHAnsi" w:cstheme="majorHAnsi"/>
          <w:sz w:val="18"/>
          <w:szCs w:val="18"/>
        </w:rPr>
        <w:t>prima al TAR e poi al CNF</w:t>
      </w:r>
      <w:r w:rsidR="00C94F68" w:rsidRPr="002044EE">
        <w:rPr>
          <w:rFonts w:asciiTheme="majorHAnsi" w:hAnsiTheme="majorHAnsi" w:cstheme="majorHAnsi"/>
          <w:sz w:val="18"/>
          <w:szCs w:val="18"/>
        </w:rPr>
        <w:t>,</w:t>
      </w:r>
      <w:r w:rsidRPr="002044EE">
        <w:rPr>
          <w:rFonts w:asciiTheme="majorHAnsi" w:hAnsiTheme="majorHAnsi" w:cstheme="majorHAnsi"/>
          <w:sz w:val="18"/>
          <w:szCs w:val="18"/>
        </w:rPr>
        <w:t xml:space="preserve"> il chiaro quadr</w:t>
      </w:r>
      <w:r w:rsidR="00A41D34" w:rsidRPr="002044EE">
        <w:rPr>
          <w:rFonts w:asciiTheme="majorHAnsi" w:hAnsiTheme="majorHAnsi" w:cstheme="majorHAnsi"/>
          <w:sz w:val="18"/>
          <w:szCs w:val="18"/>
        </w:rPr>
        <w:t>o normativo e giurisprudenziale di riferimento.</w:t>
      </w:r>
    </w:p>
    <w:p w14:paraId="287E219F" w14:textId="353539A0" w:rsidR="006709DB" w:rsidRPr="002044EE" w:rsidRDefault="006709DB" w:rsidP="006709DB">
      <w:pPr>
        <w:jc w:val="both"/>
        <w:rPr>
          <w:rFonts w:asciiTheme="majorHAnsi" w:hAnsiTheme="majorHAnsi" w:cstheme="majorHAnsi"/>
          <w:sz w:val="18"/>
          <w:szCs w:val="18"/>
        </w:rPr>
      </w:pPr>
      <w:r w:rsidRPr="002044EE">
        <w:rPr>
          <w:rFonts w:asciiTheme="majorHAnsi" w:hAnsiTheme="majorHAnsi" w:cstheme="majorHAnsi"/>
          <w:sz w:val="18"/>
          <w:szCs w:val="18"/>
        </w:rPr>
        <w:t>Incredibilmente dinanzi al CNF ha</w:t>
      </w:r>
      <w:r w:rsidR="00E2636F" w:rsidRPr="002044EE">
        <w:rPr>
          <w:rFonts w:asciiTheme="majorHAnsi" w:hAnsiTheme="majorHAnsi" w:cstheme="majorHAnsi"/>
          <w:sz w:val="18"/>
          <w:szCs w:val="18"/>
        </w:rPr>
        <w:t xml:space="preserve"> prevalso una tesi contraria e così</w:t>
      </w:r>
      <w:r w:rsidRPr="002044EE">
        <w:rPr>
          <w:rFonts w:asciiTheme="majorHAnsi" w:hAnsiTheme="majorHAnsi" w:cstheme="majorHAnsi"/>
          <w:sz w:val="18"/>
          <w:szCs w:val="18"/>
        </w:rPr>
        <w:t xml:space="preserve">, prima con decreto cautelare e poi con ordinanza collegiale, è stato </w:t>
      </w:r>
      <w:r w:rsidRPr="002044EE">
        <w:rPr>
          <w:rFonts w:asciiTheme="majorHAnsi" w:hAnsiTheme="majorHAnsi" w:cstheme="majorHAnsi"/>
          <w:b/>
          <w:sz w:val="18"/>
          <w:szCs w:val="18"/>
        </w:rPr>
        <w:t>provvisoriamente riammesso</w:t>
      </w:r>
      <w:r w:rsidRPr="002044EE">
        <w:rPr>
          <w:rFonts w:asciiTheme="majorHAnsi" w:hAnsiTheme="majorHAnsi" w:cstheme="majorHAnsi"/>
          <w:sz w:val="18"/>
          <w:szCs w:val="18"/>
        </w:rPr>
        <w:t xml:space="preserve"> l’unico candidato escluso</w:t>
      </w:r>
      <w:r w:rsidR="00E2636F" w:rsidRPr="002044EE">
        <w:rPr>
          <w:rFonts w:asciiTheme="majorHAnsi" w:hAnsiTheme="majorHAnsi" w:cstheme="majorHAnsi"/>
          <w:sz w:val="18"/>
          <w:szCs w:val="18"/>
        </w:rPr>
        <w:t xml:space="preserve"> dei circa novante candidati romani</w:t>
      </w:r>
      <w:r w:rsidRPr="002044EE">
        <w:rPr>
          <w:rFonts w:asciiTheme="majorHAnsi" w:hAnsiTheme="majorHAnsi" w:cstheme="majorHAnsi"/>
          <w:sz w:val="18"/>
          <w:szCs w:val="18"/>
        </w:rPr>
        <w:t>.</w:t>
      </w:r>
    </w:p>
    <w:p w14:paraId="4F0085A8" w14:textId="77777777" w:rsidR="00E2636F" w:rsidRPr="002044EE" w:rsidRDefault="006709DB" w:rsidP="00A41D34">
      <w:pPr>
        <w:jc w:val="both"/>
        <w:rPr>
          <w:rFonts w:asciiTheme="majorHAnsi" w:hAnsiTheme="majorHAnsi" w:cstheme="majorHAnsi"/>
          <w:sz w:val="18"/>
          <w:szCs w:val="18"/>
        </w:rPr>
      </w:pPr>
      <w:r w:rsidRPr="002044EE">
        <w:rPr>
          <w:rFonts w:asciiTheme="majorHAnsi" w:hAnsiTheme="majorHAnsi" w:cstheme="majorHAnsi"/>
          <w:sz w:val="18"/>
          <w:szCs w:val="18"/>
        </w:rPr>
        <w:t>Poiché</w:t>
      </w:r>
      <w:r w:rsidR="00560FAD" w:rsidRPr="002044EE">
        <w:rPr>
          <w:rFonts w:asciiTheme="majorHAnsi" w:hAnsiTheme="majorHAnsi" w:cstheme="majorHAnsi"/>
          <w:sz w:val="18"/>
          <w:szCs w:val="18"/>
        </w:rPr>
        <w:t xml:space="preserve"> noi </w:t>
      </w:r>
      <w:r w:rsidR="00560FAD" w:rsidRPr="002044EE">
        <w:rPr>
          <w:rFonts w:asciiTheme="majorHAnsi" w:hAnsiTheme="majorHAnsi" w:cstheme="majorHAnsi"/>
          <w:b/>
          <w:sz w:val="18"/>
          <w:szCs w:val="18"/>
        </w:rPr>
        <w:t>rispettiamo tutti i provvedimenti giurisdizionali</w:t>
      </w:r>
      <w:r w:rsidR="00560FAD" w:rsidRPr="002044EE">
        <w:rPr>
          <w:rFonts w:asciiTheme="majorHAnsi" w:hAnsiTheme="majorHAnsi" w:cstheme="majorHAnsi"/>
          <w:sz w:val="18"/>
          <w:szCs w:val="18"/>
        </w:rPr>
        <w:t xml:space="preserve"> </w:t>
      </w:r>
      <w:r w:rsidR="00E2636F" w:rsidRPr="002044EE">
        <w:rPr>
          <w:rFonts w:asciiTheme="majorHAnsi" w:hAnsiTheme="majorHAnsi" w:cstheme="majorHAnsi"/>
          <w:sz w:val="18"/>
          <w:szCs w:val="18"/>
        </w:rPr>
        <w:t>prendiamo atto</w:t>
      </w:r>
      <w:r w:rsidRPr="002044EE">
        <w:rPr>
          <w:rFonts w:asciiTheme="majorHAnsi" w:hAnsiTheme="majorHAnsi" w:cstheme="majorHAnsi"/>
          <w:sz w:val="18"/>
          <w:szCs w:val="18"/>
        </w:rPr>
        <w:t xml:space="preserve"> della decisione intervenuta non senza rilevare </w:t>
      </w:r>
      <w:r w:rsidR="00560FAD" w:rsidRPr="002044EE">
        <w:rPr>
          <w:rFonts w:asciiTheme="majorHAnsi" w:hAnsiTheme="majorHAnsi" w:cstheme="majorHAnsi"/>
          <w:sz w:val="18"/>
          <w:szCs w:val="18"/>
        </w:rPr>
        <w:t xml:space="preserve">tuttavia </w:t>
      </w:r>
      <w:r w:rsidRPr="002044EE">
        <w:rPr>
          <w:rFonts w:asciiTheme="majorHAnsi" w:hAnsiTheme="majorHAnsi" w:cstheme="majorHAnsi"/>
          <w:sz w:val="18"/>
          <w:szCs w:val="18"/>
        </w:rPr>
        <w:t xml:space="preserve">che il Consiglio Nazionale ha optato per una interpretazione contraria </w:t>
      </w:r>
    </w:p>
    <w:p w14:paraId="41A9D59D" w14:textId="6101F0AE" w:rsidR="00E2636F" w:rsidRPr="002044EE" w:rsidRDefault="00E2636F" w:rsidP="00E2636F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044EE">
        <w:rPr>
          <w:rFonts w:asciiTheme="majorHAnsi" w:hAnsiTheme="majorHAnsi" w:cstheme="majorHAnsi"/>
          <w:sz w:val="18"/>
          <w:szCs w:val="18"/>
        </w:rPr>
        <w:t>alla legge (</w:t>
      </w:r>
      <w:r w:rsidR="0032585E" w:rsidRPr="002044EE">
        <w:rPr>
          <w:rFonts w:asciiTheme="majorHAnsi" w:hAnsiTheme="majorHAnsi" w:cstheme="majorHAnsi"/>
          <w:sz w:val="18"/>
          <w:szCs w:val="18"/>
        </w:rPr>
        <w:t xml:space="preserve">prima </w:t>
      </w:r>
      <w:r w:rsidR="00016181" w:rsidRPr="002044EE">
        <w:rPr>
          <w:rFonts w:asciiTheme="majorHAnsi" w:hAnsiTheme="majorHAnsi" w:cstheme="majorHAnsi"/>
          <w:sz w:val="18"/>
          <w:szCs w:val="18"/>
        </w:rPr>
        <w:t xml:space="preserve">art. 28 co. 5 L. 247/2012 e poi </w:t>
      </w:r>
      <w:r w:rsidRPr="002044EE">
        <w:rPr>
          <w:rFonts w:asciiTheme="majorHAnsi" w:hAnsiTheme="majorHAnsi" w:cstheme="majorHAnsi"/>
          <w:sz w:val="18"/>
          <w:szCs w:val="18"/>
        </w:rPr>
        <w:t>art. 3 co. 3 L. 113/2017),</w:t>
      </w:r>
    </w:p>
    <w:p w14:paraId="3ACB2E33" w14:textId="6415AC0F" w:rsidR="00E2636F" w:rsidRPr="002044EE" w:rsidRDefault="006709DB" w:rsidP="00E2636F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044EE">
        <w:rPr>
          <w:rFonts w:asciiTheme="majorHAnsi" w:hAnsiTheme="majorHAnsi" w:cstheme="majorHAnsi"/>
          <w:sz w:val="18"/>
          <w:szCs w:val="18"/>
        </w:rPr>
        <w:t>al principio di diritto</w:t>
      </w:r>
      <w:r w:rsidR="00E2636F" w:rsidRPr="002044EE">
        <w:rPr>
          <w:rFonts w:asciiTheme="majorHAnsi" w:hAnsiTheme="majorHAnsi" w:cstheme="majorHAnsi"/>
          <w:sz w:val="18"/>
          <w:szCs w:val="18"/>
        </w:rPr>
        <w:t xml:space="preserve"> enunciato dalle Sezioni Unite (sentenza n. 32781/2018)</w:t>
      </w:r>
    </w:p>
    <w:p w14:paraId="09DCAC1A" w14:textId="76FD80C3" w:rsidR="006709DB" w:rsidRPr="002044EE" w:rsidRDefault="006709DB" w:rsidP="00E2636F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044EE">
        <w:rPr>
          <w:rFonts w:asciiTheme="majorHAnsi" w:hAnsiTheme="majorHAnsi" w:cstheme="majorHAnsi"/>
          <w:sz w:val="18"/>
          <w:szCs w:val="18"/>
        </w:rPr>
        <w:t>al decreto legge di interpretazione autentica</w:t>
      </w:r>
      <w:r w:rsidR="00E2636F" w:rsidRPr="002044EE">
        <w:rPr>
          <w:rFonts w:asciiTheme="majorHAnsi" w:hAnsiTheme="majorHAnsi" w:cstheme="majorHAnsi"/>
          <w:sz w:val="18"/>
          <w:szCs w:val="18"/>
        </w:rPr>
        <w:t xml:space="preserve"> (DL. 2/2019)</w:t>
      </w:r>
      <w:r w:rsidRPr="002044EE">
        <w:rPr>
          <w:rFonts w:asciiTheme="majorHAnsi" w:hAnsiTheme="majorHAnsi" w:cstheme="majorHAnsi"/>
          <w:sz w:val="18"/>
          <w:szCs w:val="18"/>
        </w:rPr>
        <w:t>.</w:t>
      </w:r>
    </w:p>
    <w:p w14:paraId="7D75680A" w14:textId="2E76AF24" w:rsidR="004515A1" w:rsidRPr="002044EE" w:rsidRDefault="00A41D34" w:rsidP="00A41D34">
      <w:pPr>
        <w:jc w:val="both"/>
        <w:rPr>
          <w:rFonts w:asciiTheme="majorHAnsi" w:hAnsiTheme="majorHAnsi" w:cstheme="majorHAnsi"/>
          <w:sz w:val="18"/>
          <w:szCs w:val="18"/>
        </w:rPr>
      </w:pPr>
      <w:r w:rsidRPr="002044EE">
        <w:rPr>
          <w:rFonts w:asciiTheme="majorHAnsi" w:hAnsiTheme="majorHAnsi" w:cstheme="majorHAnsi"/>
          <w:sz w:val="18"/>
          <w:szCs w:val="18"/>
        </w:rPr>
        <w:t xml:space="preserve">Rivolgendoci a giuristi ci permettiamo </w:t>
      </w:r>
      <w:r w:rsidR="00E2636F" w:rsidRPr="002044EE">
        <w:rPr>
          <w:rFonts w:asciiTheme="majorHAnsi" w:hAnsiTheme="majorHAnsi" w:cstheme="majorHAnsi"/>
          <w:sz w:val="18"/>
          <w:szCs w:val="18"/>
        </w:rPr>
        <w:t xml:space="preserve">anche </w:t>
      </w:r>
      <w:r w:rsidRPr="002044EE">
        <w:rPr>
          <w:rFonts w:asciiTheme="majorHAnsi" w:hAnsiTheme="majorHAnsi" w:cstheme="majorHAnsi"/>
          <w:sz w:val="18"/>
          <w:szCs w:val="18"/>
        </w:rPr>
        <w:t xml:space="preserve">di evidenziare come nella questione il Consiglio, in difformità da una giurisprudenza granitica, per la prima volta, </w:t>
      </w:r>
    </w:p>
    <w:p w14:paraId="5EEB1B59" w14:textId="77777777" w:rsidR="004515A1" w:rsidRPr="002044EE" w:rsidRDefault="00A41D34" w:rsidP="00744B85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044EE">
        <w:rPr>
          <w:rFonts w:asciiTheme="majorHAnsi" w:hAnsiTheme="majorHAnsi" w:cstheme="majorHAnsi"/>
          <w:sz w:val="18"/>
          <w:szCs w:val="18"/>
        </w:rPr>
        <w:t xml:space="preserve">si è auto attribuito competenza  cautelare, </w:t>
      </w:r>
    </w:p>
    <w:p w14:paraId="16CD9AAF" w14:textId="77777777" w:rsidR="004515A1" w:rsidRPr="002044EE" w:rsidRDefault="00A41D34" w:rsidP="00744B85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044EE">
        <w:rPr>
          <w:rFonts w:asciiTheme="majorHAnsi" w:hAnsiTheme="majorHAnsi" w:cstheme="majorHAnsi"/>
          <w:sz w:val="18"/>
          <w:szCs w:val="18"/>
        </w:rPr>
        <w:t xml:space="preserve">l’ha estesa addirittura alla fase inaudita altera parte, </w:t>
      </w:r>
    </w:p>
    <w:p w14:paraId="41E5D9F5" w14:textId="6E140D28" w:rsidR="004515A1" w:rsidRPr="002044EE" w:rsidRDefault="00A41D34" w:rsidP="00744B85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044EE">
        <w:rPr>
          <w:rFonts w:asciiTheme="majorHAnsi" w:hAnsiTheme="majorHAnsi" w:cstheme="majorHAnsi"/>
          <w:sz w:val="18"/>
          <w:szCs w:val="18"/>
        </w:rPr>
        <w:t xml:space="preserve">non ha consentito prima dell’adozione del decreto neppure l’audizione dei difensori </w:t>
      </w:r>
      <w:r w:rsidR="00E2636F" w:rsidRPr="002044EE">
        <w:rPr>
          <w:rFonts w:asciiTheme="majorHAnsi" w:hAnsiTheme="majorHAnsi" w:cstheme="majorHAnsi"/>
          <w:sz w:val="18"/>
          <w:szCs w:val="18"/>
        </w:rPr>
        <w:t>(</w:t>
      </w:r>
      <w:r w:rsidRPr="002044EE">
        <w:rPr>
          <w:rFonts w:asciiTheme="majorHAnsi" w:hAnsiTheme="majorHAnsi" w:cstheme="majorHAnsi"/>
          <w:sz w:val="18"/>
          <w:szCs w:val="18"/>
        </w:rPr>
        <w:t xml:space="preserve">che, sempre nella fase monocratica, erano stati ascoltati </w:t>
      </w:r>
      <w:r w:rsidR="00E2636F" w:rsidRPr="002044EE">
        <w:rPr>
          <w:rFonts w:asciiTheme="majorHAnsi" w:hAnsiTheme="majorHAnsi" w:cstheme="majorHAnsi"/>
          <w:sz w:val="18"/>
          <w:szCs w:val="18"/>
        </w:rPr>
        <w:t xml:space="preserve">in sede presidenziale dinanzi </w:t>
      </w:r>
      <w:r w:rsidRPr="002044EE">
        <w:rPr>
          <w:rFonts w:asciiTheme="majorHAnsi" w:hAnsiTheme="majorHAnsi" w:cstheme="majorHAnsi"/>
          <w:sz w:val="18"/>
          <w:szCs w:val="18"/>
        </w:rPr>
        <w:t>al TAR</w:t>
      </w:r>
      <w:r w:rsidR="00E2636F" w:rsidRPr="002044EE">
        <w:rPr>
          <w:rFonts w:asciiTheme="majorHAnsi" w:hAnsiTheme="majorHAnsi" w:cstheme="majorHAnsi"/>
          <w:sz w:val="18"/>
          <w:szCs w:val="18"/>
        </w:rPr>
        <w:t>)… altro che riconoscimento costituzionale del ruolo del difensore invocato a gran voce all’ultimo congresso nazionale forense di Catania,</w:t>
      </w:r>
    </w:p>
    <w:p w14:paraId="57D70383" w14:textId="2C660F28" w:rsidR="004515A1" w:rsidRPr="002044EE" w:rsidRDefault="004515A1" w:rsidP="00744B85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044EE">
        <w:rPr>
          <w:rFonts w:asciiTheme="majorHAnsi" w:hAnsiTheme="majorHAnsi" w:cstheme="majorHAnsi"/>
          <w:sz w:val="18"/>
          <w:szCs w:val="18"/>
        </w:rPr>
        <w:t xml:space="preserve">ha ritenuto autonomamente </w:t>
      </w:r>
      <w:r w:rsidR="00744B85" w:rsidRPr="002044EE">
        <w:rPr>
          <w:rFonts w:asciiTheme="majorHAnsi" w:hAnsiTheme="majorHAnsi" w:cstheme="majorHAnsi"/>
          <w:sz w:val="18"/>
          <w:szCs w:val="18"/>
        </w:rPr>
        <w:t>impugnabile</w:t>
      </w:r>
      <w:r w:rsidRPr="002044EE">
        <w:rPr>
          <w:rFonts w:asciiTheme="majorHAnsi" w:hAnsiTheme="majorHAnsi" w:cstheme="majorHAnsi"/>
          <w:sz w:val="18"/>
          <w:szCs w:val="18"/>
        </w:rPr>
        <w:t xml:space="preserve"> un atto </w:t>
      </w:r>
      <w:proofErr w:type="spellStart"/>
      <w:r w:rsidRPr="002044EE">
        <w:rPr>
          <w:rFonts w:asciiTheme="majorHAnsi" w:hAnsiTheme="majorHAnsi" w:cstheme="majorHAnsi"/>
          <w:sz w:val="18"/>
          <w:szCs w:val="18"/>
        </w:rPr>
        <w:t>endoprocedimentale</w:t>
      </w:r>
      <w:proofErr w:type="spellEnd"/>
      <w:r w:rsidRPr="002044EE">
        <w:rPr>
          <w:rFonts w:asciiTheme="majorHAnsi" w:hAnsiTheme="majorHAnsi" w:cstheme="majorHAnsi"/>
          <w:sz w:val="18"/>
          <w:szCs w:val="18"/>
        </w:rPr>
        <w:t xml:space="preserve"> della commissione elettorale</w:t>
      </w:r>
      <w:r w:rsidR="00744B85" w:rsidRPr="002044EE">
        <w:rPr>
          <w:rFonts w:asciiTheme="majorHAnsi" w:hAnsiTheme="majorHAnsi" w:cstheme="majorHAnsi"/>
          <w:sz w:val="18"/>
          <w:szCs w:val="18"/>
        </w:rPr>
        <w:t xml:space="preserve">, laddove aveva </w:t>
      </w:r>
      <w:r w:rsidR="00E2636F" w:rsidRPr="002044EE">
        <w:rPr>
          <w:rFonts w:asciiTheme="majorHAnsi" w:hAnsiTheme="majorHAnsi" w:cstheme="majorHAnsi"/>
          <w:sz w:val="18"/>
          <w:szCs w:val="18"/>
        </w:rPr>
        <w:t>era sempre stata affermata</w:t>
      </w:r>
      <w:r w:rsidR="00744B85" w:rsidRPr="002044EE">
        <w:rPr>
          <w:rFonts w:asciiTheme="majorHAnsi" w:hAnsiTheme="majorHAnsi" w:cstheme="majorHAnsi"/>
          <w:sz w:val="18"/>
          <w:szCs w:val="18"/>
        </w:rPr>
        <w:t xml:space="preserve"> la necessità di proporre ricorso avverso la proclamazione degli eletti che costituisce il provvedimento finale del procedimento elettorale</w:t>
      </w:r>
      <w:r w:rsidRPr="002044EE">
        <w:rPr>
          <w:rFonts w:asciiTheme="majorHAnsi" w:hAnsiTheme="majorHAnsi" w:cstheme="majorHAnsi"/>
          <w:sz w:val="18"/>
          <w:szCs w:val="18"/>
        </w:rPr>
        <w:t xml:space="preserve"> </w:t>
      </w:r>
      <w:r w:rsidR="00A41D34" w:rsidRPr="002044EE">
        <w:rPr>
          <w:rFonts w:asciiTheme="majorHAnsi" w:hAnsiTheme="majorHAnsi" w:cstheme="majorHAnsi"/>
          <w:sz w:val="18"/>
          <w:szCs w:val="18"/>
        </w:rPr>
        <w:t xml:space="preserve"> e, infine, </w:t>
      </w:r>
    </w:p>
    <w:p w14:paraId="71C32507" w14:textId="2BB727F2" w:rsidR="0072516D" w:rsidRPr="002044EE" w:rsidRDefault="00A41D34" w:rsidP="00744B85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044EE">
        <w:rPr>
          <w:rFonts w:asciiTheme="majorHAnsi" w:hAnsiTheme="majorHAnsi" w:cstheme="majorHAnsi"/>
          <w:sz w:val="18"/>
          <w:szCs w:val="18"/>
        </w:rPr>
        <w:t>non ha esitato ad affermare che non avrebbe fatto doverosa applicazione della norma di interpretazione autentica contenuta nel decreto legge</w:t>
      </w:r>
      <w:r w:rsidR="00AF1155" w:rsidRPr="002044EE">
        <w:rPr>
          <w:rFonts w:asciiTheme="majorHAnsi" w:hAnsiTheme="majorHAnsi" w:cstheme="majorHAnsi"/>
          <w:sz w:val="18"/>
          <w:szCs w:val="18"/>
        </w:rPr>
        <w:t>,</w:t>
      </w:r>
      <w:r w:rsidRPr="002044EE">
        <w:rPr>
          <w:rFonts w:asciiTheme="majorHAnsi" w:hAnsiTheme="majorHAnsi" w:cstheme="majorHAnsi"/>
          <w:sz w:val="18"/>
          <w:szCs w:val="18"/>
        </w:rPr>
        <w:t xml:space="preserve"> perché… in sede di conversione il testo a</w:t>
      </w:r>
      <w:r w:rsidR="00AF1155" w:rsidRPr="002044EE">
        <w:rPr>
          <w:rFonts w:asciiTheme="majorHAnsi" w:hAnsiTheme="majorHAnsi" w:cstheme="majorHAnsi"/>
          <w:sz w:val="18"/>
          <w:szCs w:val="18"/>
        </w:rPr>
        <w:t xml:space="preserve">vrebbe potuto essere modificato </w:t>
      </w:r>
      <w:r w:rsidR="00AF1155" w:rsidRPr="002044EE">
        <w:rPr>
          <w:rFonts w:asciiTheme="majorHAnsi" w:hAnsiTheme="majorHAnsi" w:cstheme="majorHAnsi"/>
          <w:i/>
          <w:sz w:val="18"/>
          <w:szCs w:val="18"/>
        </w:rPr>
        <w:t>(“il decreto legge interpretativo … richiederà tempi tecnici di conversione in legge soltanto in esito alla quale si avrà conoscenza della disciplina definitiva…</w:t>
      </w:r>
      <w:r w:rsidR="00AF1155" w:rsidRPr="002044EE">
        <w:rPr>
          <w:rFonts w:asciiTheme="majorHAnsi" w:hAnsiTheme="majorHAnsi" w:cstheme="majorHAnsi"/>
          <w:sz w:val="18"/>
          <w:szCs w:val="18"/>
        </w:rPr>
        <w:t>”).</w:t>
      </w:r>
    </w:p>
    <w:p w14:paraId="5A959E54" w14:textId="0357BABA" w:rsidR="00744B85" w:rsidRPr="002044EE" w:rsidRDefault="00744B85" w:rsidP="00A41D34">
      <w:pPr>
        <w:jc w:val="both"/>
        <w:rPr>
          <w:rFonts w:asciiTheme="majorHAnsi" w:hAnsiTheme="majorHAnsi" w:cstheme="majorHAnsi"/>
          <w:sz w:val="18"/>
          <w:szCs w:val="18"/>
        </w:rPr>
      </w:pPr>
      <w:r w:rsidRPr="002044EE">
        <w:rPr>
          <w:rFonts w:asciiTheme="majorHAnsi" w:hAnsiTheme="majorHAnsi" w:cstheme="majorHAnsi"/>
          <w:sz w:val="18"/>
          <w:szCs w:val="18"/>
        </w:rPr>
        <w:t xml:space="preserve">Il tutto, pure di “scalfire” la disciplina legislativa e la giurisprudenza di legittimità evidentemente contrarie al </w:t>
      </w:r>
      <w:r w:rsidRPr="002044EE">
        <w:rPr>
          <w:rFonts w:asciiTheme="majorHAnsi" w:hAnsiTheme="majorHAnsi" w:cstheme="majorHAnsi"/>
          <w:b/>
          <w:sz w:val="18"/>
          <w:szCs w:val="18"/>
        </w:rPr>
        <w:t>perpetuarsi eterno dei mandati</w:t>
      </w:r>
      <w:r w:rsidRPr="002044EE">
        <w:rPr>
          <w:rFonts w:asciiTheme="majorHAnsi" w:hAnsiTheme="majorHAnsi" w:cstheme="majorHAnsi"/>
          <w:sz w:val="18"/>
          <w:szCs w:val="18"/>
        </w:rPr>
        <w:t xml:space="preserve"> in capo ai Consiglieri.</w:t>
      </w:r>
    </w:p>
    <w:p w14:paraId="66707799" w14:textId="5EB4BDAB" w:rsidR="00A41D34" w:rsidRPr="002044EE" w:rsidRDefault="00A41D34" w:rsidP="00A41D34">
      <w:pPr>
        <w:jc w:val="both"/>
        <w:rPr>
          <w:rFonts w:asciiTheme="majorHAnsi" w:hAnsiTheme="majorHAnsi" w:cstheme="majorHAnsi"/>
          <w:sz w:val="18"/>
          <w:szCs w:val="18"/>
        </w:rPr>
      </w:pPr>
      <w:r w:rsidRPr="002044EE">
        <w:rPr>
          <w:rFonts w:asciiTheme="majorHAnsi" w:hAnsiTheme="majorHAnsi" w:cstheme="majorHAnsi"/>
          <w:sz w:val="18"/>
          <w:szCs w:val="18"/>
        </w:rPr>
        <w:t>I fatti, così come rappresentati, nella loro gravità impongono una immediata risposta del corpo elettorale che</w:t>
      </w:r>
      <w:r w:rsidR="00E2636F" w:rsidRPr="002044EE">
        <w:rPr>
          <w:rFonts w:asciiTheme="majorHAnsi" w:hAnsiTheme="majorHAnsi" w:cstheme="majorHAnsi"/>
          <w:sz w:val="18"/>
          <w:szCs w:val="18"/>
        </w:rPr>
        <w:t>,</w:t>
      </w:r>
      <w:r w:rsidRPr="002044EE">
        <w:rPr>
          <w:rFonts w:asciiTheme="majorHAnsi" w:hAnsiTheme="majorHAnsi" w:cstheme="majorHAnsi"/>
          <w:sz w:val="18"/>
          <w:szCs w:val="18"/>
        </w:rPr>
        <w:t xml:space="preserve"> ne siamo certi</w:t>
      </w:r>
      <w:r w:rsidR="00E2636F" w:rsidRPr="002044EE">
        <w:rPr>
          <w:rFonts w:asciiTheme="majorHAnsi" w:hAnsiTheme="majorHAnsi" w:cstheme="majorHAnsi"/>
          <w:sz w:val="18"/>
          <w:szCs w:val="18"/>
        </w:rPr>
        <w:t>,</w:t>
      </w:r>
      <w:r w:rsidRPr="002044EE">
        <w:rPr>
          <w:rFonts w:asciiTheme="majorHAnsi" w:hAnsiTheme="majorHAnsi" w:cstheme="majorHAnsi"/>
          <w:sz w:val="18"/>
          <w:szCs w:val="18"/>
        </w:rPr>
        <w:t xml:space="preserve"> libererà </w:t>
      </w:r>
      <w:r w:rsidR="00744B85" w:rsidRPr="002044EE">
        <w:rPr>
          <w:rFonts w:asciiTheme="majorHAnsi" w:hAnsiTheme="majorHAnsi" w:cstheme="majorHAnsi"/>
          <w:sz w:val="18"/>
          <w:szCs w:val="18"/>
        </w:rPr>
        <w:t xml:space="preserve">finalmente </w:t>
      </w:r>
      <w:r w:rsidRPr="002044EE">
        <w:rPr>
          <w:rFonts w:asciiTheme="majorHAnsi" w:hAnsiTheme="majorHAnsi" w:cstheme="majorHAnsi"/>
          <w:sz w:val="18"/>
          <w:szCs w:val="18"/>
        </w:rPr>
        <w:t xml:space="preserve">l’avvocatura romana da chi ha tentato di svenderla ad una parte politica, l’ha </w:t>
      </w:r>
      <w:r w:rsidR="00E2636F" w:rsidRPr="002044EE">
        <w:rPr>
          <w:rFonts w:asciiTheme="majorHAnsi" w:hAnsiTheme="majorHAnsi" w:cstheme="majorHAnsi"/>
          <w:sz w:val="18"/>
          <w:szCs w:val="18"/>
        </w:rPr>
        <w:t>trascinata</w:t>
      </w:r>
      <w:r w:rsidRPr="002044EE">
        <w:rPr>
          <w:rFonts w:asciiTheme="majorHAnsi" w:hAnsiTheme="majorHAnsi" w:cstheme="majorHAnsi"/>
          <w:sz w:val="18"/>
          <w:szCs w:val="18"/>
        </w:rPr>
        <w:t xml:space="preserve"> sui principali quotidiani nazionali per fatti di cronaca che poco hanno a che vedere con l’attività istituzion</w:t>
      </w:r>
      <w:r w:rsidR="00016181" w:rsidRPr="002044EE">
        <w:rPr>
          <w:rFonts w:asciiTheme="majorHAnsi" w:hAnsiTheme="majorHAnsi" w:cstheme="majorHAnsi"/>
          <w:sz w:val="18"/>
          <w:szCs w:val="18"/>
        </w:rPr>
        <w:t xml:space="preserve">ale ed oggi dirige dall’esterno (essendo anch’egli </w:t>
      </w:r>
      <w:proofErr w:type="spellStart"/>
      <w:r w:rsidR="00016181" w:rsidRPr="002044EE">
        <w:rPr>
          <w:rFonts w:asciiTheme="majorHAnsi" w:hAnsiTheme="majorHAnsi" w:cstheme="majorHAnsi"/>
          <w:sz w:val="18"/>
          <w:szCs w:val="18"/>
        </w:rPr>
        <w:t>incandidabile</w:t>
      </w:r>
      <w:proofErr w:type="spellEnd"/>
      <w:r w:rsidR="00016181" w:rsidRPr="002044EE">
        <w:rPr>
          <w:rFonts w:asciiTheme="majorHAnsi" w:hAnsiTheme="majorHAnsi" w:cstheme="majorHAnsi"/>
          <w:sz w:val="18"/>
          <w:szCs w:val="18"/>
        </w:rPr>
        <w:t xml:space="preserve"> e, dunque, ineleggibile) </w:t>
      </w:r>
      <w:r w:rsidR="00AF1155" w:rsidRPr="002044EE">
        <w:rPr>
          <w:rFonts w:asciiTheme="majorHAnsi" w:hAnsiTheme="majorHAnsi" w:cstheme="majorHAnsi"/>
          <w:sz w:val="18"/>
          <w:szCs w:val="18"/>
        </w:rPr>
        <w:t xml:space="preserve">una aggregazione elettorale che pervicacemente ripropone la candidatura di un </w:t>
      </w:r>
      <w:proofErr w:type="spellStart"/>
      <w:r w:rsidR="00AF1155" w:rsidRPr="002044EE">
        <w:rPr>
          <w:rFonts w:asciiTheme="majorHAnsi" w:hAnsiTheme="majorHAnsi" w:cstheme="majorHAnsi"/>
          <w:sz w:val="18"/>
          <w:szCs w:val="18"/>
        </w:rPr>
        <w:t>incandidabile</w:t>
      </w:r>
      <w:proofErr w:type="spellEnd"/>
      <w:r w:rsidR="00AF1155" w:rsidRPr="002044EE">
        <w:rPr>
          <w:rFonts w:asciiTheme="majorHAnsi" w:hAnsiTheme="majorHAnsi" w:cstheme="majorHAnsi"/>
          <w:sz w:val="18"/>
          <w:szCs w:val="18"/>
        </w:rPr>
        <w:t xml:space="preserve"> e, dunque, ineleggibile </w:t>
      </w:r>
      <w:r w:rsidR="00744B85" w:rsidRPr="002044EE">
        <w:rPr>
          <w:rFonts w:asciiTheme="majorHAnsi" w:hAnsiTheme="majorHAnsi" w:cstheme="majorHAnsi"/>
          <w:sz w:val="18"/>
          <w:szCs w:val="18"/>
        </w:rPr>
        <w:t xml:space="preserve">sia pure per ora </w:t>
      </w:r>
      <w:r w:rsidR="00AF1155" w:rsidRPr="002044EE">
        <w:rPr>
          <w:rFonts w:asciiTheme="majorHAnsi" w:hAnsiTheme="majorHAnsi" w:cstheme="majorHAnsi"/>
          <w:b/>
          <w:sz w:val="18"/>
          <w:szCs w:val="18"/>
        </w:rPr>
        <w:t>provvisoriamente “graziato”</w:t>
      </w:r>
      <w:r w:rsidR="00AF1155" w:rsidRPr="002044EE">
        <w:rPr>
          <w:rFonts w:asciiTheme="majorHAnsi" w:hAnsiTheme="majorHAnsi" w:cstheme="majorHAnsi"/>
          <w:sz w:val="18"/>
          <w:szCs w:val="18"/>
        </w:rPr>
        <w:t xml:space="preserve"> dalla mutante giurisprudenza del CNF.</w:t>
      </w:r>
    </w:p>
    <w:p w14:paraId="03A924BE" w14:textId="0F388ADF" w:rsidR="00AF1155" w:rsidRPr="002044EE" w:rsidRDefault="00AF1155" w:rsidP="00AF1155">
      <w:pPr>
        <w:jc w:val="both"/>
        <w:rPr>
          <w:rFonts w:asciiTheme="majorHAnsi" w:eastAsia="Times New Roman" w:hAnsiTheme="majorHAnsi" w:cstheme="majorHAnsi"/>
          <w:sz w:val="18"/>
          <w:szCs w:val="18"/>
          <w:shd w:val="clear" w:color="auto" w:fill="FFFFFF"/>
        </w:rPr>
      </w:pPr>
      <w:r w:rsidRPr="002044EE">
        <w:rPr>
          <w:rFonts w:asciiTheme="majorHAnsi" w:hAnsiTheme="majorHAnsi" w:cstheme="majorHAnsi"/>
          <w:sz w:val="18"/>
          <w:szCs w:val="18"/>
        </w:rPr>
        <w:t>Noi la via giurisdizionale l’abbiamo percorsa tante volte con successo</w:t>
      </w:r>
      <w:r w:rsidR="00744B85" w:rsidRPr="002044EE">
        <w:rPr>
          <w:rFonts w:asciiTheme="majorHAnsi" w:hAnsiTheme="majorHAnsi" w:cstheme="majorHAnsi"/>
          <w:sz w:val="18"/>
          <w:szCs w:val="18"/>
        </w:rPr>
        <w:t>,</w:t>
      </w:r>
      <w:r w:rsidRPr="002044EE">
        <w:rPr>
          <w:rFonts w:asciiTheme="majorHAnsi" w:hAnsiTheme="majorHAnsi" w:cstheme="majorHAnsi"/>
          <w:sz w:val="18"/>
          <w:szCs w:val="18"/>
        </w:rPr>
        <w:t xml:space="preserve"> ma </w:t>
      </w:r>
      <w:r w:rsidRPr="002044EE">
        <w:rPr>
          <w:rFonts w:asciiTheme="majorHAnsi" w:hAnsiTheme="majorHAnsi" w:cstheme="majorHAnsi"/>
          <w:b/>
          <w:sz w:val="18"/>
          <w:szCs w:val="18"/>
        </w:rPr>
        <w:t>soltanto nell’interesse degli avvocati romani</w:t>
      </w:r>
      <w:r w:rsidRPr="002044EE">
        <w:rPr>
          <w:rFonts w:asciiTheme="majorHAnsi" w:hAnsiTheme="majorHAnsi" w:cstheme="majorHAnsi"/>
          <w:sz w:val="18"/>
          <w:szCs w:val="18"/>
        </w:rPr>
        <w:t xml:space="preserve"> e, </w:t>
      </w:r>
      <w:r w:rsidRPr="002044EE">
        <w:rPr>
          <w:rFonts w:asciiTheme="majorHAnsi" w:eastAsia="Times New Roman" w:hAnsiTheme="majorHAnsi" w:cstheme="majorHAnsi"/>
          <w:sz w:val="18"/>
          <w:szCs w:val="18"/>
          <w:shd w:val="clear" w:color="auto" w:fill="FFFFFF"/>
        </w:rPr>
        <w:t xml:space="preserve">in particolare, </w:t>
      </w:r>
      <w:r w:rsidR="00744B85" w:rsidRPr="002044EE">
        <w:rPr>
          <w:rFonts w:asciiTheme="majorHAnsi" w:eastAsia="Times New Roman" w:hAnsiTheme="majorHAnsi" w:cstheme="majorHAnsi"/>
          <w:sz w:val="18"/>
          <w:szCs w:val="18"/>
          <w:shd w:val="clear" w:color="auto" w:fill="FFFFFF"/>
        </w:rPr>
        <w:t>in occasione delle battaglie giudiziarie</w:t>
      </w:r>
      <w:r w:rsidRPr="002044EE">
        <w:rPr>
          <w:rFonts w:asciiTheme="majorHAnsi" w:eastAsia="Times New Roman" w:hAnsiTheme="majorHAnsi" w:cstheme="majorHAnsi"/>
          <w:sz w:val="18"/>
          <w:szCs w:val="18"/>
          <w:shd w:val="clear" w:color="auto" w:fill="FFFFFF"/>
        </w:rPr>
        <w:t xml:space="preserve"> per l’ampliamento dell’</w:t>
      </w:r>
      <w:r w:rsidRPr="002044EE">
        <w:rPr>
          <w:rFonts w:asciiTheme="majorHAnsi" w:eastAsia="Times New Roman" w:hAnsiTheme="majorHAnsi" w:cstheme="majorHAnsi"/>
          <w:bCs/>
          <w:sz w:val="18"/>
          <w:szCs w:val="18"/>
          <w:bdr w:val="none" w:sz="0" w:space="0" w:color="auto" w:frame="1"/>
          <w:shd w:val="clear" w:color="auto" w:fill="FFFFFF"/>
        </w:rPr>
        <w:t xml:space="preserve">orario di apertura delle cancellerie </w:t>
      </w:r>
      <w:r w:rsidRPr="002044EE">
        <w:rPr>
          <w:rFonts w:asciiTheme="majorHAnsi" w:eastAsia="Times New Roman" w:hAnsiTheme="majorHAnsi" w:cstheme="majorHAnsi"/>
          <w:sz w:val="18"/>
          <w:szCs w:val="18"/>
          <w:shd w:val="clear" w:color="auto" w:fill="FFFFFF"/>
        </w:rPr>
        <w:t>degli uffici giudiziari romani, per la necessaria partecipazione dell’Avvocato nei procedimenti di </w:t>
      </w:r>
      <w:r w:rsidRPr="002044EE">
        <w:rPr>
          <w:rFonts w:asciiTheme="majorHAnsi" w:eastAsia="Times New Roman" w:hAnsiTheme="majorHAnsi" w:cstheme="majorHAnsi"/>
          <w:bCs/>
          <w:sz w:val="18"/>
          <w:szCs w:val="18"/>
          <w:bdr w:val="none" w:sz="0" w:space="0" w:color="auto" w:frame="1"/>
          <w:shd w:val="clear" w:color="auto" w:fill="FFFFFF"/>
        </w:rPr>
        <w:t>mediazione</w:t>
      </w:r>
      <w:r w:rsidRPr="002044EE">
        <w:rPr>
          <w:rFonts w:asciiTheme="majorHAnsi" w:eastAsia="Times New Roman" w:hAnsiTheme="majorHAnsi" w:cstheme="majorHAnsi"/>
          <w:sz w:val="18"/>
          <w:szCs w:val="18"/>
          <w:shd w:val="clear" w:color="auto" w:fill="FFFFFF"/>
        </w:rPr>
        <w:t> e contro l’illegittima regolamentazione del </w:t>
      </w:r>
      <w:r w:rsidRPr="002044EE">
        <w:rPr>
          <w:rFonts w:asciiTheme="majorHAnsi" w:eastAsia="Times New Roman" w:hAnsiTheme="majorHAnsi" w:cstheme="majorHAnsi"/>
          <w:bCs/>
          <w:sz w:val="18"/>
          <w:szCs w:val="18"/>
          <w:bdr w:val="none" w:sz="0" w:space="0" w:color="auto" w:frame="1"/>
          <w:shd w:val="clear" w:color="auto" w:fill="FFFFFF"/>
        </w:rPr>
        <w:t>titolo di Avvocato Specialista</w:t>
      </w:r>
      <w:r w:rsidRPr="002044EE">
        <w:rPr>
          <w:rFonts w:asciiTheme="majorHAnsi" w:eastAsia="Times New Roman" w:hAnsiTheme="majorHAnsi" w:cstheme="majorHAnsi"/>
          <w:sz w:val="18"/>
          <w:szCs w:val="18"/>
          <w:shd w:val="clear" w:color="auto" w:fill="FFFFFF"/>
        </w:rPr>
        <w:t> (prima da parte del CNF nel settembre 2010 e poi da parte del Ministero nel luglio 2015).</w:t>
      </w:r>
    </w:p>
    <w:p w14:paraId="0734553F" w14:textId="1D24254D" w:rsidR="00744B85" w:rsidRPr="002044EE" w:rsidRDefault="00744B85" w:rsidP="00AF1155">
      <w:pPr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2044EE">
        <w:rPr>
          <w:rFonts w:asciiTheme="majorHAnsi" w:eastAsia="Times New Roman" w:hAnsiTheme="majorHAnsi" w:cstheme="majorHAnsi"/>
          <w:sz w:val="18"/>
          <w:szCs w:val="18"/>
          <w:shd w:val="clear" w:color="auto" w:fill="FFFFFF"/>
        </w:rPr>
        <w:t xml:space="preserve">Ti rinnoviamo, dunque, l’invito a consentirci di </w:t>
      </w:r>
      <w:r w:rsidRPr="002044EE">
        <w:rPr>
          <w:rFonts w:asciiTheme="majorHAnsi" w:eastAsia="Times New Roman" w:hAnsiTheme="majorHAnsi" w:cstheme="majorHAnsi"/>
          <w:b/>
          <w:sz w:val="18"/>
          <w:szCs w:val="18"/>
          <w:shd w:val="clear" w:color="auto" w:fill="FFFFFF"/>
        </w:rPr>
        <w:t>proseguire nella via del rinnovamento</w:t>
      </w:r>
      <w:r w:rsidRPr="002044EE">
        <w:rPr>
          <w:rFonts w:asciiTheme="majorHAnsi" w:eastAsia="Times New Roman" w:hAnsiTheme="majorHAnsi" w:cstheme="majorHAnsi"/>
          <w:sz w:val="18"/>
          <w:szCs w:val="18"/>
          <w:shd w:val="clear" w:color="auto" w:fill="FFFFFF"/>
        </w:rPr>
        <w:t xml:space="preserve"> oramai indifferibile per il </w:t>
      </w:r>
      <w:r w:rsidRPr="002044EE">
        <w:rPr>
          <w:rFonts w:asciiTheme="majorHAnsi" w:eastAsia="Times New Roman" w:hAnsiTheme="majorHAnsi" w:cstheme="majorHAnsi"/>
          <w:b/>
          <w:sz w:val="18"/>
          <w:szCs w:val="18"/>
          <w:shd w:val="clear" w:color="auto" w:fill="FFFFFF"/>
        </w:rPr>
        <w:t>bene comune della famiglia forense romana</w:t>
      </w:r>
      <w:r w:rsidRPr="002044EE">
        <w:rPr>
          <w:rFonts w:asciiTheme="majorHAnsi" w:eastAsia="Times New Roman" w:hAnsiTheme="majorHAnsi" w:cstheme="majorHAnsi"/>
          <w:sz w:val="18"/>
          <w:szCs w:val="18"/>
          <w:shd w:val="clear" w:color="auto" w:fill="FFFFFF"/>
        </w:rPr>
        <w:t>.</w:t>
      </w:r>
    </w:p>
    <w:p w14:paraId="0AF33FAE" w14:textId="77777777" w:rsidR="00AF1155" w:rsidRPr="002044EE" w:rsidRDefault="00AF1155" w:rsidP="00A41D34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30DEA198" w14:textId="77777777" w:rsidR="00AF1155" w:rsidRPr="002044EE" w:rsidRDefault="00AF1155" w:rsidP="00A41D34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67EA2493" w14:textId="77777777" w:rsidR="00AF1155" w:rsidRPr="00560FAD" w:rsidRDefault="00AF1155" w:rsidP="00A41D34">
      <w:pPr>
        <w:jc w:val="both"/>
        <w:rPr>
          <w:rFonts w:ascii="Times New Roman" w:hAnsi="Times New Roman" w:cs="Times New Roman"/>
        </w:rPr>
      </w:pPr>
      <w:r w:rsidRPr="00560FAD">
        <w:rPr>
          <w:rFonts w:ascii="Times New Roman" w:hAnsi="Times New Roman" w:cs="Times New Roman"/>
        </w:rPr>
        <w:t>Allegati:</w:t>
      </w:r>
    </w:p>
    <w:p w14:paraId="1C8A0BDF" w14:textId="77777777" w:rsidR="00AF1155" w:rsidRPr="00560FAD" w:rsidRDefault="00AF1155" w:rsidP="00560F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0FAD">
        <w:rPr>
          <w:rFonts w:ascii="Times New Roman" w:hAnsi="Times New Roman" w:cs="Times New Roman"/>
        </w:rPr>
        <w:t>decreto CNF n. 1 del 2019</w:t>
      </w:r>
      <w:bookmarkStart w:id="0" w:name="_GoBack"/>
      <w:bookmarkEnd w:id="0"/>
    </w:p>
    <w:p w14:paraId="76F63623" w14:textId="77777777" w:rsidR="00AF1155" w:rsidRPr="00560FAD" w:rsidRDefault="00AF1155" w:rsidP="00560F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0FAD">
        <w:rPr>
          <w:rFonts w:ascii="Times New Roman" w:hAnsi="Times New Roman" w:cs="Times New Roman"/>
        </w:rPr>
        <w:lastRenderedPageBreak/>
        <w:t>ordinanza CNF n. 1 del 2019</w:t>
      </w:r>
    </w:p>
    <w:p w14:paraId="5E87CB88" w14:textId="77777777" w:rsidR="00AF1155" w:rsidRPr="00560FAD" w:rsidRDefault="00AF1155" w:rsidP="00560F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0FAD">
        <w:rPr>
          <w:rFonts w:ascii="Times New Roman" w:hAnsi="Times New Roman" w:cs="Times New Roman"/>
        </w:rPr>
        <w:t xml:space="preserve">memoria Prof. Avv. Giorgio </w:t>
      </w:r>
      <w:r w:rsidR="00560FAD" w:rsidRPr="00560FAD">
        <w:rPr>
          <w:rFonts w:ascii="Times New Roman" w:hAnsi="Times New Roman" w:cs="Times New Roman"/>
        </w:rPr>
        <w:t>Costantino</w:t>
      </w:r>
    </w:p>
    <w:p w14:paraId="1A981320" w14:textId="77777777" w:rsidR="00AF1155" w:rsidRDefault="00560FAD" w:rsidP="00560F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0FAD">
        <w:rPr>
          <w:rFonts w:ascii="Times New Roman" w:hAnsi="Times New Roman" w:cs="Times New Roman"/>
        </w:rPr>
        <w:t>memorie Prof.</w:t>
      </w:r>
      <w:r w:rsidR="00AF1155" w:rsidRPr="00560FAD">
        <w:rPr>
          <w:rFonts w:ascii="Times New Roman" w:hAnsi="Times New Roman" w:cs="Times New Roman"/>
        </w:rPr>
        <w:t xml:space="preserve"> Avv. Giancarlo </w:t>
      </w:r>
      <w:proofErr w:type="spellStart"/>
      <w:r w:rsidR="00AF1155" w:rsidRPr="00560FAD">
        <w:rPr>
          <w:rFonts w:ascii="Times New Roman" w:hAnsi="Times New Roman" w:cs="Times New Roman"/>
        </w:rPr>
        <w:t>Viglione</w:t>
      </w:r>
      <w:proofErr w:type="spellEnd"/>
    </w:p>
    <w:p w14:paraId="0EB7CE39" w14:textId="77777777" w:rsidR="00744B85" w:rsidRDefault="00744B85" w:rsidP="00744B85">
      <w:pPr>
        <w:jc w:val="both"/>
        <w:rPr>
          <w:rFonts w:ascii="Times New Roman" w:hAnsi="Times New Roman" w:cs="Times New Roman"/>
        </w:rPr>
      </w:pPr>
    </w:p>
    <w:p w14:paraId="799DC2F6" w14:textId="344D613C" w:rsidR="00744B85" w:rsidRPr="00744B85" w:rsidRDefault="00744B85" w:rsidP="00744B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candidati della lista Galletti</w:t>
      </w:r>
    </w:p>
    <w:sectPr w:rsidR="00744B85" w:rsidRPr="00744B85" w:rsidSect="005638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32B"/>
    <w:multiLevelType w:val="hybridMultilevel"/>
    <w:tmpl w:val="34ECB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36740"/>
    <w:multiLevelType w:val="hybridMultilevel"/>
    <w:tmpl w:val="AEF80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E535B"/>
    <w:multiLevelType w:val="hybridMultilevel"/>
    <w:tmpl w:val="0866B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F9"/>
    <w:rsid w:val="00016181"/>
    <w:rsid w:val="002044EE"/>
    <w:rsid w:val="0032585E"/>
    <w:rsid w:val="004515A1"/>
    <w:rsid w:val="004E3C21"/>
    <w:rsid w:val="00560FAD"/>
    <w:rsid w:val="005638FF"/>
    <w:rsid w:val="006709DB"/>
    <w:rsid w:val="0072516D"/>
    <w:rsid w:val="00744B85"/>
    <w:rsid w:val="00A41D34"/>
    <w:rsid w:val="00AF1155"/>
    <w:rsid w:val="00BD39F9"/>
    <w:rsid w:val="00BD3E88"/>
    <w:rsid w:val="00C94F68"/>
    <w:rsid w:val="00CB452B"/>
    <w:rsid w:val="00D00F04"/>
    <w:rsid w:val="00E2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AD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F1155"/>
    <w:rPr>
      <w:b/>
      <w:bCs/>
    </w:rPr>
  </w:style>
  <w:style w:type="paragraph" w:styleId="Paragrafoelenco">
    <w:name w:val="List Paragraph"/>
    <w:basedOn w:val="Normale"/>
    <w:uiPriority w:val="34"/>
    <w:qFormat/>
    <w:rsid w:val="00560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F1155"/>
    <w:rPr>
      <w:b/>
      <w:bCs/>
    </w:rPr>
  </w:style>
  <w:style w:type="paragraph" w:styleId="Paragrafoelenco">
    <w:name w:val="List Paragraph"/>
    <w:basedOn w:val="Normale"/>
    <w:uiPriority w:val="34"/>
    <w:qFormat/>
    <w:rsid w:val="0056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Avv.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Galletti</dc:creator>
  <cp:lastModifiedBy>Mauro Nesta</cp:lastModifiedBy>
  <cp:revision>2</cp:revision>
  <dcterms:created xsi:type="dcterms:W3CDTF">2019-01-16T08:02:00Z</dcterms:created>
  <dcterms:modified xsi:type="dcterms:W3CDTF">2019-01-16T08:02:00Z</dcterms:modified>
</cp:coreProperties>
</file>